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9A16" w14:textId="77777777" w:rsidR="002F34DA" w:rsidRPr="002F34DA" w:rsidRDefault="002F34DA" w:rsidP="002F34DA">
      <w:pPr>
        <w:rPr>
          <w:b/>
        </w:rPr>
      </w:pPr>
      <w:r w:rsidRPr="002F34DA">
        <w:rPr>
          <w:b/>
        </w:rPr>
        <w:t xml:space="preserve">Вариант 2. </w:t>
      </w:r>
    </w:p>
    <w:p w14:paraId="0161385B" w14:textId="77777777" w:rsidR="002F34DA" w:rsidRPr="002F34DA" w:rsidRDefault="002F34DA" w:rsidP="002F34DA">
      <w:pPr>
        <w:rPr>
          <w:b/>
        </w:rPr>
      </w:pPr>
      <w:r w:rsidRPr="002F34DA">
        <w:rPr>
          <w:b/>
        </w:rPr>
        <w:t>Для обучающихся, фамилии которых начинаются с букв Л – Я</w:t>
      </w:r>
    </w:p>
    <w:p w14:paraId="09BBA000" w14:textId="77777777" w:rsidR="002F34DA" w:rsidRPr="002F34DA" w:rsidRDefault="002F34DA" w:rsidP="002F34DA">
      <w:r w:rsidRPr="002F34DA">
        <w:rPr>
          <w:b/>
        </w:rPr>
        <w:t>Задание 1</w:t>
      </w:r>
      <w:r w:rsidRPr="002F34DA">
        <w:rPr>
          <w:b/>
          <w:bCs/>
          <w:i/>
        </w:rPr>
        <w:t>.</w:t>
      </w:r>
      <w:r w:rsidRPr="002F34DA">
        <w:rPr>
          <w:bCs/>
          <w:i/>
        </w:rPr>
        <w:t xml:space="preserve"> </w:t>
      </w:r>
      <w:r w:rsidRPr="002F34DA">
        <w:t>На основе анализа Кодекса судейской этики (утв. VIII Всероссийским съездом судей 19.12.2012) охарактеризуйте принципы и правила профессионального поведения судьи арбитражного суда.</w:t>
      </w:r>
    </w:p>
    <w:p w14:paraId="7DF5E887" w14:textId="77777777" w:rsidR="002F34DA" w:rsidRPr="002F34DA" w:rsidRDefault="002F34DA" w:rsidP="002F34DA">
      <w:r w:rsidRPr="002F34DA">
        <w:rPr>
          <w:b/>
        </w:rPr>
        <w:t>Задание 2.</w:t>
      </w:r>
      <w:r w:rsidRPr="002F34DA">
        <w:t xml:space="preserve"> При рассмотрении дела арбитражным судом истец указал на явное противоречие между федеральным законом, подлежащим применению к спорным правоотношениям, и Конституцией Российской Федерации, поэтому просил разрешить спор исходя из закрепленных конституционных гарантий, а не их ограничений законодателем.</w:t>
      </w:r>
    </w:p>
    <w:p w14:paraId="5DE68827" w14:textId="77777777" w:rsidR="002F34DA" w:rsidRPr="002F34DA" w:rsidRDefault="002F34DA" w:rsidP="002F34DA">
      <w:pPr>
        <w:rPr>
          <w:bCs/>
        </w:rPr>
      </w:pPr>
      <w:r w:rsidRPr="002F34DA">
        <w:rPr>
          <w:bCs/>
          <w:iCs/>
        </w:rPr>
        <w:t xml:space="preserve">Вправе ли </w:t>
      </w:r>
      <w:r w:rsidRPr="002F34DA">
        <w:rPr>
          <w:bCs/>
        </w:rPr>
        <w:t>арбитражный</w:t>
      </w:r>
      <w:r w:rsidRPr="002F34DA">
        <w:rPr>
          <w:bCs/>
          <w:iCs/>
        </w:rPr>
        <w:t xml:space="preserve"> суд обратиться с запросом в Конституционный Суд Российской Федерации по поводу несоответствия федерального закона Конституции Российской Федерации применительно к спорному правоотношению?</w:t>
      </w:r>
    </w:p>
    <w:p w14:paraId="70022133" w14:textId="77777777" w:rsidR="002F34DA" w:rsidRPr="002F34DA" w:rsidRDefault="002F34DA" w:rsidP="002F34DA">
      <w:pPr>
        <w:rPr>
          <w:bCs/>
          <w:i/>
        </w:rPr>
      </w:pPr>
      <w:r w:rsidRPr="002F34DA">
        <w:rPr>
          <w:bCs/>
          <w:i/>
          <w:iCs/>
        </w:rPr>
        <w:t xml:space="preserve">Может ли </w:t>
      </w:r>
      <w:r w:rsidRPr="002F34DA">
        <w:rPr>
          <w:bCs/>
          <w:i/>
        </w:rPr>
        <w:t>арбитражный</w:t>
      </w:r>
      <w:r w:rsidRPr="002F34DA">
        <w:rPr>
          <w:bCs/>
          <w:i/>
          <w:iCs/>
        </w:rPr>
        <w:t xml:space="preserve"> суд самостоятельно, т. е. без обращения в Конституционный Суд Российской Федерации, признать федеральный закон в установленной им части неконституционным?</w:t>
      </w:r>
    </w:p>
    <w:p w14:paraId="1CC083FC" w14:textId="77777777" w:rsidR="002F34DA" w:rsidRPr="002F34DA" w:rsidRDefault="002F34DA" w:rsidP="002F34DA">
      <w:pPr>
        <w:rPr>
          <w:bCs/>
          <w:i/>
          <w:iCs/>
        </w:rPr>
      </w:pPr>
      <w:r w:rsidRPr="002F34DA">
        <w:rPr>
          <w:bCs/>
          <w:i/>
          <w:iCs/>
        </w:rPr>
        <w:t>Может ли арбитражный суд самостоятельно признать федеральный закон в установленной им части не подлежащим применению, не затрагивая его оценку с точки зрения конституционности?</w:t>
      </w:r>
    </w:p>
    <w:p w14:paraId="2094281A" w14:textId="77777777" w:rsidR="002F34DA" w:rsidRPr="002F34DA" w:rsidRDefault="002F34DA" w:rsidP="002F34DA">
      <w:r w:rsidRPr="002F34DA">
        <w:rPr>
          <w:b/>
          <w:bCs/>
          <w:iCs/>
        </w:rPr>
        <w:t>Задание 3.</w:t>
      </w:r>
      <w:r w:rsidRPr="002F34DA">
        <w:rPr>
          <w:bCs/>
          <w:iCs/>
        </w:rPr>
        <w:t xml:space="preserve"> Дайте общую характеристику действию арбитражных процессуальных норм во времени, в пространстве и по кругу лиц.</w:t>
      </w:r>
    </w:p>
    <w:p w14:paraId="52FD5C44" w14:textId="77777777" w:rsidR="00DE11D1" w:rsidRDefault="00DE11D1"/>
    <w:sectPr w:rsidR="00DE11D1" w:rsidSect="00B2483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DA"/>
    <w:rsid w:val="002F34DA"/>
    <w:rsid w:val="00D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1B81"/>
  <w15:chartTrackingRefBased/>
  <w15:docId w15:val="{A2D4A34A-7842-4D97-A10B-A96A57E5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2020-10-04T13:40:00Z</dcterms:created>
  <dcterms:modified xsi:type="dcterms:W3CDTF">2020-10-04T13:41:00Z</dcterms:modified>
</cp:coreProperties>
</file>