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13" w:rsidRPr="006A53E1" w:rsidRDefault="00691D70" w:rsidP="002D6613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9"/>
        </w:rPr>
      </w:pPr>
      <w:r w:rsidRPr="006A53E1">
        <w:rPr>
          <w:rFonts w:ascii="Times New Roman" w:hAnsi="Times New Roman" w:cs="Times New Roman"/>
          <w:b/>
          <w:color w:val="000000"/>
          <w:sz w:val="28"/>
          <w:szCs w:val="19"/>
        </w:rPr>
        <w:t xml:space="preserve">Список вопросов к </w:t>
      </w:r>
      <w:r w:rsidR="00C311A8">
        <w:rPr>
          <w:rFonts w:ascii="Times New Roman" w:hAnsi="Times New Roman" w:cs="Times New Roman"/>
          <w:b/>
          <w:color w:val="000000"/>
          <w:sz w:val="28"/>
          <w:szCs w:val="19"/>
        </w:rPr>
        <w:t>зачёту</w:t>
      </w:r>
      <w:bookmarkStart w:id="0" w:name="_GoBack"/>
      <w:bookmarkEnd w:id="0"/>
      <w:r w:rsidRPr="006A53E1">
        <w:rPr>
          <w:rFonts w:ascii="Times New Roman" w:hAnsi="Times New Roman" w:cs="Times New Roman"/>
          <w:b/>
          <w:color w:val="000000"/>
          <w:sz w:val="28"/>
          <w:szCs w:val="19"/>
        </w:rPr>
        <w:t xml:space="preserve"> по </w:t>
      </w:r>
      <w:r w:rsidR="006A53E1" w:rsidRPr="006A53E1">
        <w:rPr>
          <w:rFonts w:ascii="Times New Roman" w:hAnsi="Times New Roman" w:cs="Times New Roman"/>
          <w:b/>
          <w:color w:val="000000"/>
          <w:sz w:val="28"/>
          <w:szCs w:val="19"/>
        </w:rPr>
        <w:t>предмету Автоматизированные системы управления качеством</w:t>
      </w:r>
      <w:r w:rsidRPr="006A53E1">
        <w:rPr>
          <w:rFonts w:ascii="Times New Roman" w:hAnsi="Times New Roman" w:cs="Times New Roman"/>
          <w:b/>
          <w:color w:val="000000"/>
          <w:sz w:val="28"/>
          <w:szCs w:val="19"/>
        </w:rPr>
        <w:t>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Основные термины и определения дисциплины. Автоматическое регулирование и автоматическое управление. Автоматизированные системы управления (АСУ).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Примеры использования микропроцессоров и персональных компьютеров в АСУК.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proofErr w:type="gram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Основные этапы развития микропроцессорной техники, персональных компьютеров и АСУ за последние 30 – 40 лет.</w:t>
      </w:r>
      <w:proofErr w:type="gramEnd"/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Функциональная схема </w:t>
      </w:r>
      <w:proofErr w:type="gram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обобщенной</w:t>
      </w:r>
      <w:proofErr w:type="gramEnd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 АСУК. Проблемы создания и особенности функционирования АСУК. Экономическая целесообразность создания АСУК. 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Устойчивость управления, недостаточная и избыточная управляемость объектом.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Одноканальные и многоканальные аналоговые системы обработки измерительной информации. Монопольное использование канала связи. Разделение информационного канала по времени и по частоте.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Одноканальные и многоканальные цифровые системы обработки измерительной информации. Асинхронный и синхронный прием данных.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Классификация систем управления. Аналоговые системы управления. Прерывистое (дискретное во времени или релейное) управление. Широтно-импульсное управление.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Цифро-аналоговые и цифровые системы управления. Компьютерные системы управления шаговыми двигателями.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Основные функциональные элементы АСУК. Датчики информации. Согласующие устройства. </w:t>
      </w:r>
      <w:proofErr w:type="gram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АЦП, ЦАП, интерфейсы, микропроцессорная система, кодеры, декодеры, линии связи, решающие устройства.</w:t>
      </w:r>
      <w:proofErr w:type="gramEnd"/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Микропроцессоры, микроконтроллеры (сигнальные процессоры) и персональные компьютеры в АСУК. Базовые примеры использования в АСУ. Преимущества и недостатки реализации АСУК на основе ПК и МП. 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Радиальная схема подключения внешних устрой</w:t>
      </w:r>
      <w:proofErr w:type="gram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ств к ПК</w:t>
      </w:r>
      <w:proofErr w:type="gramEnd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. Последовательные и параллельные интерфейсы. Интерфейс </w:t>
      </w:r>
      <w:r w:rsidRPr="006A53E1">
        <w:rPr>
          <w:rFonts w:ascii="Times New Roman" w:eastAsia="Times New Roman" w:hAnsi="Times New Roman" w:cs="Times New Roman"/>
          <w:sz w:val="28"/>
          <w:szCs w:val="18"/>
          <w:lang w:val="en-US" w:eastAsia="zh-CN"/>
        </w:rPr>
        <w:t>USB</w:t>
      </w: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, </w:t>
      </w:r>
      <w:r w:rsidRPr="006A53E1">
        <w:rPr>
          <w:rFonts w:ascii="Times New Roman" w:eastAsia="Times New Roman" w:hAnsi="Times New Roman" w:cs="Times New Roman"/>
          <w:sz w:val="28"/>
          <w:szCs w:val="18"/>
          <w:lang w:val="en-US" w:eastAsia="zh-CN"/>
        </w:rPr>
        <w:t>COM</w:t>
      </w: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, </w:t>
      </w:r>
      <w:r w:rsidRPr="006A53E1">
        <w:rPr>
          <w:rFonts w:ascii="Times New Roman" w:eastAsia="Times New Roman" w:hAnsi="Times New Roman" w:cs="Times New Roman"/>
          <w:sz w:val="28"/>
          <w:szCs w:val="18"/>
          <w:lang w:val="en-US" w:eastAsia="zh-CN"/>
        </w:rPr>
        <w:t>LPT</w:t>
      </w: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Подключение периферийных устройств через системный канал данных. Основные виды системных каналов. Однонаправленные и двунаправленные шины данных. Совмещенная шина адреса и данных.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Системный канал ISA. Основные режимы работы канала в операциях ввода-вывода. 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Сопряжение микропроцессора и измерительных устройств с системным каналом. Буферизация шины адреса и данных. Принципиальная схема двоичного логического элемента с тремя </w:t>
      </w: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lastRenderedPageBreak/>
        <w:t xml:space="preserve">состояниями по выходу. Двунаправленный шинный формирователь </w:t>
      </w:r>
      <w:proofErr w:type="spell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Intel</w:t>
      </w:r>
      <w:proofErr w:type="spellEnd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 8286 в интерфейсах ввода-вывода. 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Прямой доступ к памяти (ПДП). Роль сигнала AEN в ликвидации конфликтных ситуаций с интерфейсами внешних устройств.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Схема дешифраторов адреса на основе логических и специализированных микросхем.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proofErr w:type="gram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Схема интерфейса ввода информации в ПК из АЦП, подключенному к системному каналу. </w:t>
      </w:r>
      <w:proofErr w:type="gramEnd"/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Схема устройства вывода аналоговых управляющих сигналов из персонального компьютера через ЦАП, подключенный к системному каналу. 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Автоматизированные системы испытаний. Цифровые генераторы испытательных сигналов. Пример использования генератора испытательных сигналов при контроле качества аудио тракта.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45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Электромагнитная совместимость компонентов АСУК. Сетевые фильтры. Европейский и Российский стандарты электропитания потребителей.</w:t>
      </w:r>
    </w:p>
    <w:p w:rsidR="002D6613" w:rsidRPr="006A53E1" w:rsidRDefault="002D6613" w:rsidP="006A53E1">
      <w:pPr>
        <w:pStyle w:val="a3"/>
        <w:numPr>
          <w:ilvl w:val="0"/>
          <w:numId w:val="2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Причина возникновения помех по общему проводу. Основные правила помехоустойчивого электрического соединения между собой компонентов АСУК. Заземление и </w:t>
      </w:r>
      <w:proofErr w:type="spell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зануление</w:t>
      </w:r>
      <w:proofErr w:type="spellEnd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 информационных систем. Назначение и </w:t>
      </w:r>
      <w:proofErr w:type="spellStart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>схемотехника</w:t>
      </w:r>
      <w:proofErr w:type="spellEnd"/>
      <w:r w:rsidRPr="006A53E1">
        <w:rPr>
          <w:rFonts w:ascii="Times New Roman" w:eastAsia="Times New Roman" w:hAnsi="Times New Roman" w:cs="Times New Roman"/>
          <w:sz w:val="28"/>
          <w:szCs w:val="18"/>
          <w:lang w:eastAsia="zh-CN"/>
        </w:rPr>
        <w:t xml:space="preserve"> построения гальванической развязки.</w:t>
      </w:r>
    </w:p>
    <w:p w:rsidR="005938E8" w:rsidRPr="006A53E1" w:rsidRDefault="00C311A8">
      <w:pPr>
        <w:rPr>
          <w:sz w:val="36"/>
        </w:rPr>
      </w:pP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Пояснения к выполнению письменных заданий по зачёту</w:t>
      </w: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1. Каждое задание выполняется на отдельном стандартном листе бумаги формата А</w:t>
      </w:r>
      <w:proofErr w:type="gramStart"/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4</w:t>
      </w:r>
      <w:proofErr w:type="gramEnd"/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.</w:t>
      </w: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2. В колонтитуле каждого листа впечатывается фамилия, имя, отчество студента, группа, учебный год, название предмета.</w:t>
      </w: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3. В рабочем поле листа впечатывается вопрос (задание).</w:t>
      </w: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4. Ответ на вопрос (задание) выполняется от руки в виде развернутого плана ответа. Типовой объем ответа не должен превышать 1 – 2 страниц стандартного листа А</w:t>
      </w:r>
      <w:proofErr w:type="gramStart"/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4</w:t>
      </w:r>
      <w:proofErr w:type="gramEnd"/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(с двух сторон). </w:t>
      </w: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5. Особое внимание должно уделяться схемам, графикам, формулам. Схемы должны выполняться с использованием линейки.</w:t>
      </w: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6. Рекомендуемый объем ответа – одна страница. </w:t>
      </w:r>
    </w:p>
    <w:p w:rsidR="00F85A71" w:rsidRPr="006A53E1" w:rsidRDefault="00F85A71" w:rsidP="00F85A7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7. Рекомендуется использовать обе страницы стандартного листа А</w:t>
      </w:r>
      <w:proofErr w:type="gramStart"/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4</w:t>
      </w:r>
      <w:proofErr w:type="gramEnd"/>
      <w:r w:rsidRPr="006A53E1">
        <w:rPr>
          <w:rFonts w:ascii="Times New Roman" w:eastAsia="Times New Roman" w:hAnsi="Times New Roman" w:cs="Times New Roman"/>
          <w:sz w:val="28"/>
          <w:szCs w:val="19"/>
          <w:lang w:eastAsia="ru-RU"/>
        </w:rPr>
        <w:t>. На одном листе с разных сторон можно (рекомендуется) давать ответы на два разных вопроса.</w:t>
      </w:r>
    </w:p>
    <w:p w:rsidR="00F85A71" w:rsidRPr="006A53E1" w:rsidRDefault="00F85A71">
      <w:pPr>
        <w:rPr>
          <w:sz w:val="36"/>
        </w:rPr>
      </w:pPr>
    </w:p>
    <w:sectPr w:rsidR="00F85A71" w:rsidRPr="006A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060"/>
    <w:multiLevelType w:val="hybridMultilevel"/>
    <w:tmpl w:val="79C01610"/>
    <w:lvl w:ilvl="0" w:tplc="0EFA118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A0D63"/>
    <w:multiLevelType w:val="hybridMultilevel"/>
    <w:tmpl w:val="95E4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3"/>
    <w:rsid w:val="002D6613"/>
    <w:rsid w:val="003C3753"/>
    <w:rsid w:val="0046607C"/>
    <w:rsid w:val="00631F93"/>
    <w:rsid w:val="00691D70"/>
    <w:rsid w:val="006A53E1"/>
    <w:rsid w:val="00C311A8"/>
    <w:rsid w:val="00DD7EFE"/>
    <w:rsid w:val="00E57ED7"/>
    <w:rsid w:val="00EA4ACB"/>
    <w:rsid w:val="00F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1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13"/>
    <w:pPr>
      <w:ind w:left="720"/>
      <w:contextualSpacing/>
    </w:pPr>
  </w:style>
  <w:style w:type="paragraph" w:customStyle="1" w:styleId="32">
    <w:name w:val="Основной текст 32"/>
    <w:basedOn w:val="a"/>
    <w:rsid w:val="002D661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1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13"/>
    <w:pPr>
      <w:ind w:left="720"/>
      <w:contextualSpacing/>
    </w:pPr>
  </w:style>
  <w:style w:type="paragraph" w:customStyle="1" w:styleId="32">
    <w:name w:val="Основной текст 32"/>
    <w:basedOn w:val="a"/>
    <w:rsid w:val="002D661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2020-09-14T11:04:00Z</dcterms:created>
  <dcterms:modified xsi:type="dcterms:W3CDTF">2020-09-15T07:53:00Z</dcterms:modified>
</cp:coreProperties>
</file>