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0C" w:rsidRPr="00E45E8A" w:rsidRDefault="00CF6E0C" w:rsidP="00CF6E0C">
      <w:pPr>
        <w:pStyle w:val="Default"/>
        <w:rPr>
          <w:sz w:val="28"/>
          <w:szCs w:val="28"/>
        </w:rPr>
      </w:pPr>
      <w:r w:rsidRPr="00E45E8A">
        <w:rPr>
          <w:sz w:val="28"/>
          <w:szCs w:val="28"/>
        </w:rPr>
        <w:t>Пространство между двумя коаксиальными цилиндрами заполнено газом. Радиус внешнего цилиндра – 20,5 см, внутреннего – 20 см. Длина обоих цилиндров равна 30 см. Внешний цилиндр вращается вокруг неподвижного внутреннего цилиндра с частотой 25 с</w:t>
      </w:r>
      <w:r w:rsidRPr="00E45E8A">
        <w:rPr>
          <w:sz w:val="28"/>
          <w:szCs w:val="28"/>
          <w:vertAlign w:val="superscript"/>
        </w:rPr>
        <w:t>-1</w:t>
      </w:r>
      <w:r w:rsidRPr="00E45E8A">
        <w:rPr>
          <w:sz w:val="28"/>
          <w:szCs w:val="28"/>
        </w:rPr>
        <w:t>. Какая сила будет действовать на 1 м</w:t>
      </w:r>
      <w:proofErr w:type="gramStart"/>
      <w:r w:rsidRPr="00E45E8A">
        <w:rPr>
          <w:sz w:val="28"/>
          <w:szCs w:val="28"/>
          <w:vertAlign w:val="superscript"/>
        </w:rPr>
        <w:t>2</w:t>
      </w:r>
      <w:proofErr w:type="gramEnd"/>
      <w:r w:rsidRPr="00E45E8A">
        <w:rPr>
          <w:sz w:val="28"/>
          <w:szCs w:val="28"/>
        </w:rPr>
        <w:t xml:space="preserve"> поверхности внутреннего цилиндра, если вязкость газа – 18 мкПа? С достаточной степенью точности слой газа между цилиндрами можно рассматривать как плоский. 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6E0C"/>
    <w:rsid w:val="004C115D"/>
    <w:rsid w:val="00C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2020-11-23T18:09:00Z</dcterms:created>
  <dcterms:modified xsi:type="dcterms:W3CDTF">2020-11-23T18:09:00Z</dcterms:modified>
</cp:coreProperties>
</file>