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E4" w:rsidRPr="0054441E" w:rsidRDefault="006065E4" w:rsidP="006065E4">
      <w:pPr>
        <w:pStyle w:val="a3"/>
        <w:ind w:left="675"/>
        <w:jc w:val="both"/>
        <w:rPr>
          <w:szCs w:val="28"/>
        </w:rPr>
      </w:pPr>
      <w:r>
        <w:rPr>
          <w:szCs w:val="28"/>
        </w:rPr>
        <w:t>Задания к экзамену по дисциплине «Жилищн</w:t>
      </w:r>
      <w:r w:rsidRPr="0054441E">
        <w:rPr>
          <w:szCs w:val="28"/>
        </w:rPr>
        <w:t>ое право»</w:t>
      </w:r>
    </w:p>
    <w:p w:rsidR="006065E4" w:rsidRPr="00AD32AA" w:rsidRDefault="006065E4" w:rsidP="006065E4">
      <w:pPr>
        <w:pStyle w:val="a3"/>
        <w:ind w:left="675"/>
        <w:jc w:val="both"/>
        <w:rPr>
          <w:szCs w:val="28"/>
        </w:rPr>
      </w:pPr>
    </w:p>
    <w:p w:rsidR="006065E4" w:rsidRDefault="006065E4" w:rsidP="006065E4">
      <w:pPr>
        <w:ind w:left="284" w:firstLine="567"/>
        <w:jc w:val="both"/>
      </w:pPr>
      <w:r w:rsidRPr="004C7A8D">
        <w:rPr>
          <w:b/>
        </w:rPr>
        <w:t>Формой аттестации является экзамен.</w:t>
      </w:r>
      <w:r>
        <w:t xml:space="preserve"> Для получения положительной оценки по изучаемому предмету </w:t>
      </w:r>
      <w:r w:rsidRPr="0054441E">
        <w:rPr>
          <w:szCs w:val="28"/>
        </w:rPr>
        <w:t>«</w:t>
      </w:r>
      <w:r>
        <w:rPr>
          <w:szCs w:val="28"/>
        </w:rPr>
        <w:t>Жилищн</w:t>
      </w:r>
      <w:r w:rsidRPr="0054441E">
        <w:rPr>
          <w:szCs w:val="28"/>
        </w:rPr>
        <w:t>ое право»</w:t>
      </w:r>
      <w:r>
        <w:t xml:space="preserve"> студенту необходимо </w:t>
      </w:r>
      <w:r w:rsidRPr="005D161A">
        <w:rPr>
          <w:b/>
          <w:u w:val="single"/>
        </w:rPr>
        <w:t>в письменной форме</w:t>
      </w:r>
      <w:r>
        <w:t>:</w:t>
      </w:r>
    </w:p>
    <w:p w:rsidR="006065E4" w:rsidRDefault="006065E4" w:rsidP="006065E4">
      <w:pPr>
        <w:ind w:left="284" w:firstLine="567"/>
        <w:jc w:val="both"/>
      </w:pPr>
      <w:r>
        <w:rPr>
          <w:b/>
        </w:rPr>
        <w:t>-</w:t>
      </w:r>
      <w:r>
        <w:t xml:space="preserve"> ответить на пять вопросов</w:t>
      </w:r>
      <w:r w:rsidRPr="00275D7D">
        <w:rPr>
          <w:b/>
        </w:rPr>
        <w:t xml:space="preserve"> </w:t>
      </w:r>
      <w:r>
        <w:rPr>
          <w:b/>
          <w:u w:val="single"/>
        </w:rPr>
        <w:t>(вопросы у студентов одной группы не должны</w:t>
      </w:r>
      <w:r w:rsidRPr="00EE44BB">
        <w:rPr>
          <w:b/>
          <w:u w:val="single"/>
        </w:rPr>
        <w:t xml:space="preserve"> повторяться</w:t>
      </w:r>
      <w:r>
        <w:rPr>
          <w:b/>
          <w:u w:val="single"/>
        </w:rPr>
        <w:t>)</w:t>
      </w:r>
      <w:r>
        <w:t>;</w:t>
      </w:r>
    </w:p>
    <w:p w:rsidR="006065E4" w:rsidRDefault="006065E4" w:rsidP="006065E4">
      <w:pPr>
        <w:ind w:left="284" w:firstLine="567"/>
        <w:jc w:val="both"/>
      </w:pPr>
      <w:r>
        <w:rPr>
          <w:b/>
        </w:rPr>
        <w:t>-</w:t>
      </w:r>
      <w:r>
        <w:t xml:space="preserve"> дать правильные ответы на все тесты.</w:t>
      </w:r>
    </w:p>
    <w:p w:rsidR="006065E4" w:rsidRDefault="006065E4" w:rsidP="006065E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6065E4" w:rsidRDefault="006065E4" w:rsidP="006065E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0696">
        <w:rPr>
          <w:rFonts w:ascii="Times New Roman" w:hAnsi="Times New Roman" w:cs="Times New Roman"/>
          <w:sz w:val="28"/>
          <w:szCs w:val="28"/>
        </w:rPr>
        <w:t xml:space="preserve">еречень вопросов к </w:t>
      </w:r>
      <w:r>
        <w:rPr>
          <w:rFonts w:ascii="Times New Roman" w:hAnsi="Times New Roman" w:cs="Times New Roman"/>
          <w:sz w:val="28"/>
          <w:szCs w:val="28"/>
        </w:rPr>
        <w:t>экзамену (зачету) по дисциплине «</w:t>
      </w:r>
      <w:r w:rsidRPr="006065E4">
        <w:rPr>
          <w:rFonts w:ascii="Times New Roman" w:eastAsia="Calibri" w:hAnsi="Times New Roman" w:cs="Times New Roman"/>
          <w:bCs w:val="0"/>
          <w:kern w:val="0"/>
          <w:sz w:val="28"/>
          <w:szCs w:val="28"/>
        </w:rPr>
        <w:t>Жилищное право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Понятие, предмет и метод жилищного права.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Принципы жилищного права.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Понятие и система источников жилищного права.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Действие жилищного законодательства во времени.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Характеристика жилищных правоотношений.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Виды объектов жилищных прав.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Понятие и виды жилищного фонда.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Государственный учет жилищного фонда.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Государственная регистрация прав на жилое помещение и сделок с ним.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Требования, предъявляемые к жилым помещениям.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Признание помещения непригодным для проживания.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Признание многоквартирного дома аварийным и подлежащим сносу.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Переустройство и перепланировка жилых помещений.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Перевод помещений из жилых в нежилые и наоборот.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Меры ответственности за нарушение норм жилищного законодательства.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Выселение без предоставления благоустроенного жилого помещения.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Выселение с предоставлением благоустроенного жилого помещения.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Основания предоставления жилых помещений по договору социального найма.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Предоставление жилых помещений по договорам социального найма.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Договор социального найма.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 xml:space="preserve">Права и обязанности </w:t>
      </w:r>
      <w:proofErr w:type="spellStart"/>
      <w:r w:rsidRPr="001F27FB">
        <w:rPr>
          <w:rFonts w:ascii="TimesET" w:hAnsi="TimesET" w:cs="TimesET"/>
          <w:szCs w:val="28"/>
          <w:lang w:eastAsia="ar-SA"/>
        </w:rPr>
        <w:t>наймодателя</w:t>
      </w:r>
      <w:proofErr w:type="spellEnd"/>
      <w:r w:rsidRPr="001F27FB">
        <w:rPr>
          <w:rFonts w:ascii="TimesET" w:hAnsi="TimesET" w:cs="TimesET"/>
          <w:szCs w:val="28"/>
          <w:lang w:eastAsia="ar-SA"/>
        </w:rPr>
        <w:t xml:space="preserve"> жилого помещения по договору социального найма.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Права и обязанности нанимателя жилого помещения по договору социального найма.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Права и обязанности членов семьи нанимателя жилого помещения.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Порядок вселения членов семьи нанимателя жилого помещения.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Вселение временных жильцов.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Договор поднайма жилого помещения.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Обмен жилыми помещениями.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Договор коммерческого найма жилого помещения.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Договор аренды жилого помещения.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Понятие, содержание и пределы права собственности на жилое помещение.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lastRenderedPageBreak/>
        <w:t>Основания приобретения права собственности на жилое помещение.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Прекращение права собственности на жилое помещение.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Права членов семьи собственника жилого помещения.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Право пользования жилым помещением из завещательного отказа.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Право пользования жилым помещением из договора пожизненного содержания с иждивением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Понятие и содержание права общей собственности на имущество многоквартирного дома.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Способы управления многоквартирным домом.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 xml:space="preserve">Собрание собственников жилых помещений в многоквартирном доме. 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Товарищество собственников жилья как вариант управления многоквартирным домом.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Договор управления многоквартирным домом.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Понятие маневренного фонда и предоставление жилых помещений в домах маневренного фонда.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Понятие служебного помещения и предоставление служебных жилых помещений.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Жилые помещения в домах социального обслуживания.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Жилые помещения фонда для временного поселения беженцев и вынужденных переселенцев.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Предоставление жилых помещений в общежитиях.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Организация и деятельность жилищных и жилищно-строительных кооперативов.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Права и обязанности членов жилищных и жилищно-строительных кооперативов.</w:t>
      </w:r>
    </w:p>
    <w:p w:rsidR="006065E4" w:rsidRPr="001F27FB" w:rsidRDefault="006065E4" w:rsidP="006065E4">
      <w:pPr>
        <w:numPr>
          <w:ilvl w:val="0"/>
          <w:numId w:val="2"/>
        </w:numPr>
        <w:tabs>
          <w:tab w:val="left" w:pos="643"/>
        </w:tabs>
        <w:suppressAutoHyphens/>
        <w:jc w:val="both"/>
        <w:rPr>
          <w:rFonts w:ascii="TimesET" w:hAnsi="TimesET" w:cs="TimesET"/>
          <w:szCs w:val="28"/>
          <w:lang w:eastAsia="ar-SA"/>
        </w:rPr>
      </w:pPr>
      <w:r w:rsidRPr="001F27FB">
        <w:rPr>
          <w:rFonts w:ascii="TimesET" w:hAnsi="TimesET" w:cs="TimesET"/>
          <w:szCs w:val="28"/>
          <w:lang w:eastAsia="ar-SA"/>
        </w:rPr>
        <w:t>Структура платы за жилое помещение и коммунальные услуги.</w:t>
      </w:r>
    </w:p>
    <w:p w:rsidR="006065E4" w:rsidRPr="001F27FB" w:rsidRDefault="006065E4" w:rsidP="006065E4">
      <w:pPr>
        <w:suppressAutoHyphens/>
        <w:ind w:firstLine="708"/>
        <w:rPr>
          <w:szCs w:val="28"/>
          <w:lang w:eastAsia="ar-SA"/>
        </w:rPr>
      </w:pPr>
    </w:p>
    <w:p w:rsidR="006065E4" w:rsidRDefault="006065E4" w:rsidP="006065E4">
      <w:pPr>
        <w:ind w:firstLine="708"/>
        <w:jc w:val="center"/>
        <w:rPr>
          <w:szCs w:val="28"/>
        </w:rPr>
      </w:pPr>
      <w:bookmarkStart w:id="0" w:name="_GoBack"/>
      <w:bookmarkEnd w:id="0"/>
    </w:p>
    <w:sectPr w:rsidR="0060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/>
        <w:bCs/>
        <w:iCs/>
        <w:sz w:val="20"/>
        <w:szCs w:val="28"/>
      </w:rPr>
    </w:lvl>
  </w:abstractNum>
  <w:abstractNum w:abstractNumId="1">
    <w:nsid w:val="7A5565ED"/>
    <w:multiLevelType w:val="hybridMultilevel"/>
    <w:tmpl w:val="FE0A8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E4"/>
    <w:rsid w:val="0003443B"/>
    <w:rsid w:val="000C41C1"/>
    <w:rsid w:val="0060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4299-1354-4BCA-AB41-843C5C9F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E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5E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5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065E4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2017-12-09T09:33:00Z</dcterms:created>
  <dcterms:modified xsi:type="dcterms:W3CDTF">2019-04-27T10:19:00Z</dcterms:modified>
</cp:coreProperties>
</file>