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3A" w:rsidRPr="00E02714" w:rsidRDefault="00EE183A" w:rsidP="00EE183A">
      <w:pPr>
        <w:pStyle w:val="1"/>
      </w:pPr>
      <w:r w:rsidRPr="00E02714">
        <w:t>Параллельный пучок монохроматического света с длиной волны 400 нм падает нормально на щель шириной 20 мкм. За щелью помещена линза с фокусным разрешением 50 см, с помощью которой можно наблюдать дифракционные полосы на экране. Определить расстояние между световыми полосами первого и второго порядка.</w:t>
      </w:r>
    </w:p>
    <w:p w:rsidR="00EE183A" w:rsidRDefault="00EE183A" w:rsidP="00EE183A">
      <w:pPr>
        <w:rPr>
          <w:b/>
        </w:rPr>
      </w:pPr>
    </w:p>
    <w:p w:rsidR="00011B66" w:rsidRDefault="00011B66"/>
    <w:sectPr w:rsidR="00011B66" w:rsidSect="0001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183A"/>
    <w:rsid w:val="00011B66"/>
    <w:rsid w:val="00EE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HTML"/>
    <w:rsid w:val="00EE18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18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183A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2021-01-06T12:16:00Z</dcterms:created>
  <dcterms:modified xsi:type="dcterms:W3CDTF">2021-01-06T12:16:00Z</dcterms:modified>
</cp:coreProperties>
</file>