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C1" w:rsidRDefault="00E85DC1" w:rsidP="00E85DC1">
      <w:r>
        <w:t>На непрозрачный экран с круглым отверстием нормально падает плоская монохроматическая волна. Как изменится число открытых кольцевых зон Френеля, если расстояние ОМ от экрана до точки наблюдения М увеличится в 2 раза?</w:t>
      </w:r>
    </w:p>
    <w:p w:rsidR="00E85DC1" w:rsidRPr="00E162EC" w:rsidRDefault="00E85DC1" w:rsidP="00E85DC1">
      <w:r w:rsidRPr="00F668E2">
        <w:drawing>
          <wp:inline distT="0" distB="0" distL="0" distR="0">
            <wp:extent cx="2639695" cy="1526540"/>
            <wp:effectExtent l="19050" t="0" r="8255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96" w:rsidRDefault="00845B96"/>
    <w:sectPr w:rsidR="00845B96" w:rsidSect="0084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E85DC1"/>
    <w:rsid w:val="00845B96"/>
    <w:rsid w:val="00E8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2021-01-11T08:47:00Z</dcterms:created>
  <dcterms:modified xsi:type="dcterms:W3CDTF">2021-01-11T08:47:00Z</dcterms:modified>
</cp:coreProperties>
</file>