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789D" w14:textId="77777777" w:rsidR="00DF7180" w:rsidRPr="00DF7180" w:rsidRDefault="00DF7180" w:rsidP="00DF71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Методические УКАЗАНИЯ</w:t>
      </w:r>
    </w:p>
    <w:p w14:paraId="00FEF86E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D3BD2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курсовой работы – это составная часть учебного процесса, одна из основных форм индивидуального изучения дисциплины «Уголовно-процессуальное право (Уголовный процесс)». Она имеет целью формирование у слушателей навыков углубленного рассмотрения содержания изучаемой дисциплины, применения полученных теоретических знаний для решения конкретных практических задач, самостоятельного исследования проблем в изучаемой отрасли знаний (планирование и проведение исследования, интерпретация полученных результатов, их правильное изложение и оформление), обоснования выдвигаемых теоретических положений или практических рекомендаций, работы с научной литературой, первоисточниками, нормативными правовыми актами.</w:t>
      </w:r>
    </w:p>
    <w:p w14:paraId="553CD968" w14:textId="77777777" w:rsidR="00DF7180" w:rsidRPr="00DF7180" w:rsidRDefault="00DF7180" w:rsidP="00DF7180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Тематика курсовых работ охватывает весь курс «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x-none"/>
        </w:rPr>
        <w:t>Уголовно-процессуальное право (</w:t>
      </w: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Уголовный процесс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и включает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0 вариантов. Слушатель выполняет тот вариант, номер которого соответствует цифре его номера в официальном списке группы. Этот номер следует уточнить у преподавателя-методиста. Однако по согласованию с преподавателем кафедры слушатель может избрать тему любого другого варианта. Вместо курсовой работы на защиту может быть представлена научная работа, выполненная обучающимся по данной дисциплине. </w:t>
      </w:r>
      <w:r w:rsidRPr="00DF7180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Работы, написанные по произвольному варианту без согласования с преподавателем кафедры или по заданиям предыдущих лет, не засчитываются и к рецензированию не допускаются.</w:t>
      </w:r>
    </w:p>
    <w:p w14:paraId="1A6D423A" w14:textId="77777777" w:rsidR="00DF7180" w:rsidRPr="00DF7180" w:rsidRDefault="00DF7180" w:rsidP="00DF7180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Курсовая работа должна быть представлена в письменной форме и соответствующим образом оформлена. Компьютерный текст выполняется на одной стороне стандартных листов формата А4 (210х297 мм). Объем работы должен составлять 25-30 страниц машинописного или компьютерного текста. Компьютерный текст набирается шрифтом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Times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New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Roman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14 размера с полуторным интервалом. Абзацный отступ – 1,25 (5 знаков). Напечатанный текст должен иметь поля: верхнее и нижнее - </w:t>
      </w:r>
      <w:smartTag w:uri="urn:schemas-microsoft-com:office:smarttags" w:element="metricconverter">
        <w:smartTagPr>
          <w:attr w:name="ProductID" w:val="20 мм"/>
        </w:smartTagPr>
        <w:r w:rsidRPr="00DF7180">
          <w:rPr>
            <w:rFonts w:ascii="Times New Roman" w:eastAsia="Times New Roman" w:hAnsi="Times New Roman" w:cs="Times New Roman"/>
            <w:sz w:val="24"/>
            <w:szCs w:val="24"/>
            <w:lang w:val="x-none" w:eastAsia="ar-SA"/>
          </w:rPr>
          <w:t>20 мм</w:t>
        </w:r>
      </w:smartTag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DF7180">
          <w:rPr>
            <w:rFonts w:ascii="Times New Roman" w:eastAsia="Times New Roman" w:hAnsi="Times New Roman" w:cs="Times New Roman"/>
            <w:sz w:val="24"/>
            <w:szCs w:val="24"/>
            <w:lang w:val="x-none" w:eastAsia="ar-SA"/>
          </w:rPr>
          <w:t>10 мм</w:t>
        </w:r>
      </w:smartTag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DF7180">
          <w:rPr>
            <w:rFonts w:ascii="Times New Roman" w:eastAsia="Times New Roman" w:hAnsi="Times New Roman" w:cs="Times New Roman"/>
            <w:sz w:val="24"/>
            <w:szCs w:val="24"/>
            <w:lang w:val="x-none" w:eastAsia="ar-SA"/>
          </w:rPr>
          <w:t>30 мм</w:t>
        </w:r>
      </w:smartTag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</w:t>
      </w:r>
    </w:p>
    <w:p w14:paraId="6C925D92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титульном листе по специальной форме (соответствующий бланк следует получить у преподавателя-методиста) необходимо обозначить все реквизиты (номер зачетной книжки, курс, группу, Ф.И.О. слушателя, номер варианта и т.д.).</w:t>
      </w:r>
    </w:p>
    <w:p w14:paraId="461C9436" w14:textId="77777777" w:rsidR="00DF7180" w:rsidRPr="00DF7180" w:rsidRDefault="00DF7180" w:rsidP="00DF7180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Страницы должны иметь сквозную нумерацию, включая приложения (номер указывается в середине верхнего поля), при этом титульный лист считается первой страницей (номер страницы не ставится), план работы – второй, введение – третьей и так далее. </w:t>
      </w:r>
    </w:p>
    <w:p w14:paraId="516EC44B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состоять из введения, основной части, заключения и списка литературы.</w:t>
      </w:r>
    </w:p>
    <w:p w14:paraId="216D4192" w14:textId="77777777" w:rsidR="00DF7180" w:rsidRPr="00DF7180" w:rsidRDefault="00DF7180" w:rsidP="00DF7180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Во введении</w:t>
      </w: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отражается актуальность и значимость исследуемой проблемы, ее научная разработанность, определяются цели, задачи и методы исследования, указывается, какие данные практической деятельности проанализированы и обобщены автором, дается общая характеристика структуры работы. </w:t>
      </w:r>
    </w:p>
    <w:p w14:paraId="77794D16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x-none" w:eastAsia="x-none"/>
        </w:rPr>
        <w:t>В основной части</w:t>
      </w:r>
      <w:r w:rsidRPr="00DF7180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работы излагается содержание темы в соответствии с планом. На основе анализа опубликованной литературы и других источников раскрываются вопросы, зафиксированные в плане, рассматриваются дискуссионные моменты, формулируется точка зрения автора. Каждый вопрос (раздел) завершается кратким выводом по существу исследуемой проблематики. Следует соблюдать принцип сбалансированности вопросов по объему.</w:t>
      </w:r>
    </w:p>
    <w:p w14:paraId="038F3709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теоретические положения в курсовой работе должны быть связаны с современной практикой уголовного судопроизводства, деятельностью органов внутренних дел, других правоохранительных органов. </w:t>
      </w:r>
    </w:p>
    <w:p w14:paraId="283F196E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заключении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проделанной работы, формулируются выводы по всей теме исследования. Наряду с обобщениями и выводами могут быть сформулированы предложения автора по дальнейшей работе над темой, новым аспектом ее исследования.</w:t>
      </w:r>
    </w:p>
    <w:p w14:paraId="17BF5D8A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включать не менее 15 – 20 наименований: нормативных правовых актов, монографий, статей и т.д. Список составляется в алфавитном порядке по заглавной букве фамилии автора (фамилии первого из коллектива авторов) или названия источника с соблюдением установленных правил оформления библиографических данных. В нем указываются источники, на которые в тексте работы ссылается автор, а также все иные, изученные при подготовке работы. При подборе литературы и нормативных актов следует руководствоваться общим перечнем и рекомендуемым к конкретной теме курсовой работы.</w:t>
      </w:r>
    </w:p>
    <w:p w14:paraId="2374430A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Курсовая работа может сопровождаться приложениями, в которых представлены материалы исследования вспомогательного характера, иллюстрирующие содержание работы в виде таблиц, схем, диаграмм, анкет и т. п. </w:t>
      </w:r>
    </w:p>
    <w:p w14:paraId="3E3C8A2F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следует указать дату окончания написания и подпись автора.</w:t>
      </w:r>
    </w:p>
    <w:p w14:paraId="338E05B7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Выполненная курсовая работа должна свидетельствовать о том, что обучающийся достаточно глубоко изучил научную и специальную литературу, нормативный материал и другие источники по рассматриваемой проблеме, полно, последовательно, логически завершено и правильно раскрыл тему, показав определенные навыки научного исследования. </w:t>
      </w:r>
    </w:p>
    <w:p w14:paraId="6A7E12BF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отражать существующие в научной литературе различные подходы к решению исследуемой проблемы, анализировать точки зрения, аргументировано излагать точку зрения автора. Изложение материала должно носить творческий, самостоятельный характер. Переписывание соответствующих глав и параграфов из учебников, монографий, учебных и методических пособий, статей недопустимо. Для подтверждения важной мысли, существенного положения используются цитирование. В этом случае необходима ссылка на источник, откуда приводятся цитата или статистические данные, оформленная в соответствии с установленными правилами. Заимствования текста из литературы без ссылки на источник (плагиат) не допускаются. Критические замечания в адрес других авторов должны быть сделаны в корректной, уважительной форме.</w:t>
      </w:r>
    </w:p>
    <w:p w14:paraId="01A21E5B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законченном и сформированном виде курсовая работа передается в секретариат, где она регистрируется, а затем поступает для проверки на кафедру.</w:t>
      </w:r>
    </w:p>
    <w:p w14:paraId="43732AED" w14:textId="77777777" w:rsidR="00DF7180" w:rsidRPr="00DF7180" w:rsidRDefault="00DF7180" w:rsidP="00DF7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допускаются к защите и возвращаются для повторного написания: курсовые работы, полностью или в значительной степени, выполненные не самостоятельно, а путем сканирования, ксерокопирования или механического переписывания источников, учебников и другой литературы; работы, в которых выявлены существенные ошибки (например, использование утративших силу нормативных правовых актов, в частности старой редакции УПК РФ и пр.), недостатки, свидетельствующие о том, что основные вопросы темы не усвоены; работы, характеризующиеся низким уровнем грамотности и небрежным оформлением.</w:t>
      </w:r>
    </w:p>
    <w:p w14:paraId="3442A3D6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проверенную преподавателем курсовую работу, слушатель обязан подготовиться к ее защите с учетом сделанных в рецензии замечаний и поставленных вопросов. Если в рецензии дана неудовлетворительная оценка, слушатель должен написать новую курсовую работу, в которой необходимо учесть замечания преподавателя по первоначальному варианту.</w:t>
      </w:r>
    </w:p>
    <w:p w14:paraId="7B941098" w14:textId="77777777" w:rsidR="00DF7180" w:rsidRPr="00DF7180" w:rsidRDefault="00DF7180" w:rsidP="00DF7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курсовой работы слушатель должен быть готов кратко изложить ее основное содержание, охарактеризовать использованные источники, сформулировать основные выводы и предложения, дать полные ответы на все замечания, высказанные рецензентом, ответить на поставленные в рецензии вопросы.</w:t>
      </w:r>
    </w:p>
    <w:p w14:paraId="7A4D9ED6" w14:textId="77777777" w:rsidR="00DF7180" w:rsidRPr="00DF7180" w:rsidRDefault="00DF7180" w:rsidP="00DF7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выставляется преподавателем после защиты курсовой работы. Курсовая работа может быть оценена с учетом качества ее написания и результатов защиты на «отлично», «хорошо», «удовлетворительно», «неудовлетворительно». </w:t>
      </w:r>
    </w:p>
    <w:p w14:paraId="0ED36F42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Слушатели, не представившие работу в срок или не защитившие ее, к сдаче экзамена по уголовному процессу не допускаются.</w:t>
      </w:r>
    </w:p>
    <w:p w14:paraId="605FDFA9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возникающим в процессе подготовки курсовой работы, слушателям необходимо обращаться к преподавателям кафедры.</w:t>
      </w:r>
    </w:p>
    <w:p w14:paraId="5914486F" w14:textId="77777777" w:rsidR="00DF7180" w:rsidRPr="00DF7180" w:rsidRDefault="00DF7180" w:rsidP="00DF71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НОРМАТИВНЫЕ ПРАВОВЫЕ АКТЫ И ОСНОВНАЯ ЛИТЕРАТУРА </w:t>
      </w:r>
    </w:p>
    <w:p w14:paraId="7A2BB5B1" w14:textId="77777777" w:rsidR="00DF7180" w:rsidRPr="00DF7180" w:rsidRDefault="00DF7180" w:rsidP="00DF71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 ВСЕМ ТЕМАМ</w:t>
      </w:r>
    </w:p>
    <w:p w14:paraId="79E652AA" w14:textId="77777777" w:rsidR="00DF7180" w:rsidRPr="00DF7180" w:rsidRDefault="00DF7180" w:rsidP="00DF71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Нормативные правовые акты</w:t>
      </w:r>
    </w:p>
    <w:p w14:paraId="13FE3E45" w14:textId="77777777" w:rsidR="00DF7180" w:rsidRPr="00DF7180" w:rsidRDefault="00DF7180" w:rsidP="00DF71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BA78FF2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и свобод человека и гражданина, принятая Верховным Советом РСФСР 22 ноября 1991 г. // Ведомости Верховного Совета РСФСР.  - 1991. - № 52. - Ст. 1865.</w:t>
      </w:r>
    </w:p>
    <w:p w14:paraId="0649F735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декларация прав человека. Принята Генеральной Ассамблеей ООН 10 декабря 1948 г. // Права человека. Сб. межд. документов. – М.: Изд-во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1986. </w:t>
      </w:r>
    </w:p>
    <w:p w14:paraId="5E9D59E2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Международный </w:t>
      </w:r>
      <w:proofErr w:type="gramStart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пакт  о</w:t>
      </w:r>
      <w:proofErr w:type="gramEnd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гражданских и политических правах (одобрен  Генеральной Ассамблеей ООН 16 декабря 1966 г., ратифицирован СССР в 1973 г. // Бюллетень Верховного Суда Российской Федерации. 1994. № 12. </w:t>
      </w:r>
    </w:p>
    <w:p w14:paraId="558E24B1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(принята всенародным голосованием 12 декабря 1993 г., с поправками, внесенными от 30 декабря 2008 г. № 6-ФКЗ, от 30 декабря 2008 г. № 7-ФКЗ, от 05 февраля 2014 г. № 2-ФКЗ, от 21 июля 2014 года № 11-ФКЗ) // Собрание законодательства Российской Федерации. 2014. № 31. Ст. 4398. </w:t>
      </w:r>
    </w:p>
    <w:p w14:paraId="4922823A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конституционный закон от 7 февраля 2011 г. № 1-ФКЗ «О судах общей юрисдикции в Российской Федерации» // Собрание законодательства Российской Федерации. 2011. № 7. Ст. 898 (с последующими изменениями и дополнениями).</w:t>
      </w:r>
    </w:p>
    <w:p w14:paraId="4BEAC270" w14:textId="77777777" w:rsidR="00DF7180" w:rsidRPr="00DF7180" w:rsidRDefault="00DF7180" w:rsidP="00DF7180">
      <w:pPr>
        <w:widowControl w:val="0"/>
        <w:numPr>
          <w:ilvl w:val="0"/>
          <w:numId w:val="1"/>
        </w:numPr>
        <w:tabs>
          <w:tab w:val="num" w:pos="927"/>
          <w:tab w:val="num" w:pos="1069"/>
          <w:tab w:val="left" w:pos="1134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от 7 февраля 2011 г. № 3-ФЗ «О полиции»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Российская газета. 2011. 8 февраля (с последующими изменениями и дополнениями).</w:t>
      </w:r>
    </w:p>
    <w:p w14:paraId="08321496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  <w:tab w:val="left" w:pos="1134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Уголовно-процессуальный кодекс Российской Федерации // Собрание законодательства Российской Федерации. 2001. № 52 (часть 1). Ст. 4921 (с последующими изменениями и дополнениями).</w:t>
      </w:r>
    </w:p>
    <w:p w14:paraId="044C866D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  <w:tab w:val="left" w:pos="1134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Уголовный кодекс Российской Федерации // Собрание законодательства Российской Федерации. 1996.  № 25. Ст. 2954 (с последующими изменениями и дополнениями).</w:t>
      </w:r>
    </w:p>
    <w:p w14:paraId="06CDC577" w14:textId="77777777" w:rsidR="00DF7180" w:rsidRPr="00DF7180" w:rsidRDefault="00DF7180" w:rsidP="00DF7180">
      <w:pPr>
        <w:widowControl w:val="0"/>
        <w:numPr>
          <w:ilvl w:val="0"/>
          <w:numId w:val="1"/>
        </w:numPr>
        <w:tabs>
          <w:tab w:val="num" w:pos="927"/>
          <w:tab w:val="num" w:pos="1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Генерального прокурора Российской Федерации от 15 марта 2010 г. № 107 «Об организации работы по реализации полномочий прокурора при заключении с подозреваемыми (обвиняемыми) досудебных соглашений о сотрудничестве по уголовным делам»</w:t>
      </w: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//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Законность. - 2010. - № 6.</w:t>
      </w:r>
    </w:p>
    <w:p w14:paraId="1F1D0CBF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Приказ Генерального прокурора Российской Федерации от 12 июля 2010 г. № 276 «Об организации прокурорского надзора за исполнением требований закона о соблюдении разумного срока на досудебных стадиях уголовного судопроизводства» // Законность. - 2010. - № 10.</w:t>
      </w:r>
    </w:p>
    <w:p w14:paraId="387EBCCD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F7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Генерального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 Российской Федерации </w:t>
      </w:r>
      <w:r w:rsidRPr="00DF7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25 декабря 2012 г. № 465 «Об участии прокуроров в судебных стадиях уголовного судопроизводства»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// СПС Консультант Плюс.</w:t>
      </w:r>
    </w:p>
    <w:p w14:paraId="711DCDE6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DF7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Генерального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прокурора Российской Федерации от 28 декабря 2016 г. № 826 «Об организации прокурорского надзора за процессуальной деятельностью органов предварительного следствия» [Электронный ресурс] // СПС Консультант Плюс.</w:t>
      </w:r>
    </w:p>
    <w:p w14:paraId="1F70F10F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DF7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Генерального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 Российской Федерации от 26 января 2017 г. № 33 «Об организации прокурорского надзора за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процессуальной деятельностью органов дознания» [Электронный ресурс] // СПС Консультант Плюс.</w:t>
      </w:r>
    </w:p>
    <w:p w14:paraId="4ADC93B5" w14:textId="77777777" w:rsidR="00DF7180" w:rsidRPr="00DF7180" w:rsidRDefault="00DF7180" w:rsidP="00DF7180">
      <w:pPr>
        <w:widowControl w:val="0"/>
        <w:numPr>
          <w:ilvl w:val="0"/>
          <w:numId w:val="1"/>
        </w:numPr>
        <w:tabs>
          <w:tab w:val="num" w:pos="927"/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ФТС России, МВД России, Минобороны России, ФСБ России, ФСО России, СВР России, ФСИН России, ФСКН России, СК России  от 27 сентября 2013 г. № 776/703/509/507/1820/42/535/398/68 «Об утверждении Инструкции о порядке представления результатов оперативно-розыскной деятельности органу дознания, следователю или в суд» [Электронный ресурс] // Официальный сайт МВД России. </w:t>
      </w:r>
      <w:r w:rsidRPr="00DF71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F71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https://mvd.ru/mvd/documents/20120328164545/item/14493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84/.</w:t>
      </w:r>
    </w:p>
    <w:p w14:paraId="0B1B56A2" w14:textId="77777777" w:rsidR="00DF7180" w:rsidRPr="00DF7180" w:rsidRDefault="00DF7180" w:rsidP="00DF7180">
      <w:pPr>
        <w:numPr>
          <w:ilvl w:val="0"/>
          <w:numId w:val="1"/>
        </w:numPr>
        <w:tabs>
          <w:tab w:val="num" w:pos="927"/>
          <w:tab w:val="num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МВД России от 29 августа 2014 г. № 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</w:t>
      </w:r>
      <w:proofErr w:type="gram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ресурс]  </w:t>
      </w:r>
      <w:r w:rsidRPr="00DF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gramEnd"/>
      <w:r w:rsidRPr="00DF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Консультант Плюс.</w:t>
      </w:r>
      <w:r w:rsidRPr="00DF71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32D72A18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698C3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14:paraId="77CF3399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B6EB7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Уголовно-процессуальное право (Уголовный процесс) [Электронный ресурс]: учебник для студентов вузов, обучающихся по направлению подготовки «Юриспруденция» / В.К. Бобров [и др.]. – М.: ЮНИТИ-ДАНА, 2015. Режим доступа: </w:t>
      </w:r>
      <w:hyperlink r:id="rId6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http://www.iprbookshop.ru/66303.html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D33F51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Уголовный процесс [Электронный ресурс]: учебное пособие для студентов вузов / А.В.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Ендольцева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М.: ЮНИТИ-ДАНА, 2015. Режим доступа: </w:t>
      </w:r>
      <w:hyperlink r:id="rId7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http://www.iprbookshop.ru/52579.html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0E249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Уголовно-процессуальное право в структурно-логических схемах [Электронный ресурс]: учебное пособие для студентов / Ф.К. Зиннуров [и др.]. – М.: ЮНИТИ-ДАНА, 2015. Режим доступа: </w:t>
      </w:r>
      <w:hyperlink r:id="rId8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http://www.iprbookshop.ru/59469.html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65FEE2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Предварительное следствие [Электронный ресурс]: учебник для курсантов и слушателей образовательных учреждений высшего профессионального образования МВД России / Е.Н.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– М.: ЮНИТИ-ДАНА, 2017. Режим доступа: </w:t>
      </w:r>
      <w:hyperlink r:id="rId9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http://www.iprbookshop.ru/71108.html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F00150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F3267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сети «Интернет»</w:t>
      </w:r>
    </w:p>
    <w:p w14:paraId="1CED792E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E926E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Конституционного суда Российской Федерации: </w:t>
      </w:r>
      <w:hyperlink r:id="rId10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http://www.ksrf.ru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54730F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Верховного суда Российской Федерации: </w:t>
      </w:r>
      <w:hyperlink r:id="rId11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http://www.vsrf.ru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CECBE9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Президента России: </w:t>
      </w:r>
      <w:hyperlink r:id="rId12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http://www.kremlin.ru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716BBC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Правительства России: </w:t>
      </w:r>
      <w:hyperlink r:id="rId13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http://www.government.ru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3EC6B6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внутренних дел Российской Федерации: </w:t>
      </w:r>
      <w:hyperlink r:id="rId14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http://www.mvd.ru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5A35E4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юстиции Российской Федерации: </w:t>
      </w:r>
      <w:hyperlink r:id="rId15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http://www.minjust.ru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D25CBE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Следственного комитета Российской Федерации: </w:t>
      </w:r>
      <w:hyperlink r:id="rId16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http://www.sledcom.ru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3CDAF7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Генеральной прокуратуры Российской Федерации: </w:t>
      </w:r>
      <w:hyperlink r:id="rId17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http://www.genproc.gov.ru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8E575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Европейского Суда по правам человека: </w:t>
      </w:r>
      <w:hyperlink r:id="rId18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http://www.echr.coe.int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http://www.espch.ru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77AE64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Уполномоченного по правам человека в Российской Федерации: </w:t>
      </w:r>
      <w:hyperlink r:id="rId20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http://ombudsmanrf.org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6A19F5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Официальный сайт Московского университета МВД России имени В.Я.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Кикотя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мосу.мвд.рф</w:t>
        </w:r>
        <w:proofErr w:type="spellEnd"/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728780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библиотеки Московского университета МВД России имени В.Я. 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Кикотя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mosumvd</w:t>
        </w:r>
        <w:proofErr w:type="spellEnd"/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C4F585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правовой информации: </w:t>
      </w:r>
      <w:hyperlink r:id="rId23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0BB5BF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Россия: Федеральный правовой портал: </w:t>
      </w:r>
      <w:hyperlink r:id="rId24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http://law.edu.ru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64856B2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государственная библиотека: </w:t>
      </w:r>
      <w:hyperlink r:id="rId25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www.rsl.ru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32E399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библиотека: </w:t>
      </w:r>
      <w:hyperlink r:id="rId26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www.bibliotekar.ru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B524504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научная библиотека издательства «</w:t>
      </w:r>
      <w:proofErr w:type="spellStart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Спарк</w:t>
      </w:r>
      <w:proofErr w:type="spellEnd"/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</w:t>
      </w:r>
      <w:hyperlink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http://www.lawlibrary.ru     </w:t>
        </w:r>
      </w:hyperlink>
    </w:p>
    <w:p w14:paraId="2E2E7B87" w14:textId="77777777" w:rsidR="00DF7180" w:rsidRPr="00DF7180" w:rsidRDefault="00DF7180" w:rsidP="00DF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электронная библиотека: </w:t>
      </w:r>
      <w:hyperlink r:id="rId27" w:history="1">
        <w:r w:rsidRPr="00DF7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845B20D" w14:textId="77777777" w:rsidR="00DF7180" w:rsidRPr="00DF7180" w:rsidRDefault="00DF7180" w:rsidP="00DF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CC658E" w14:textId="77777777" w:rsidR="00DF7180" w:rsidRPr="00DF7180" w:rsidRDefault="00DF7180" w:rsidP="00DF718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21603B" w14:textId="7676E903" w:rsidR="002E378A" w:rsidRDefault="002E378A"/>
    <w:p w14:paraId="4AD61B5D" w14:textId="12E4A19E" w:rsidR="00DF7180" w:rsidRDefault="00DF7180"/>
    <w:p w14:paraId="0B3DB612" w14:textId="77777777" w:rsidR="00DF7180" w:rsidRPr="00DF7180" w:rsidRDefault="00DF7180" w:rsidP="00DF71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71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 №</w:t>
      </w:r>
      <w:proofErr w:type="gramEnd"/>
      <w:r w:rsidRPr="00DF71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13.</w:t>
      </w:r>
      <w:r w:rsidRPr="00D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Прокурор в уголовном судопроизводстве</w:t>
      </w:r>
    </w:p>
    <w:p w14:paraId="597E781A" w14:textId="77777777" w:rsidR="00DF7180" w:rsidRPr="00DF7180" w:rsidRDefault="00DF7180" w:rsidP="00DF7180">
      <w:pPr>
        <w:spacing w:after="0" w:line="240" w:lineRule="auto"/>
        <w:ind w:firstLine="454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p w14:paraId="63D253B0" w14:textId="77777777" w:rsidR="00DF7180" w:rsidRPr="00DF7180" w:rsidRDefault="00DF7180" w:rsidP="00DF7180">
      <w:pPr>
        <w:spacing w:after="0" w:line="240" w:lineRule="auto"/>
        <w:ind w:firstLine="45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Примерный  план</w:t>
      </w:r>
    </w:p>
    <w:p w14:paraId="16E16367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F1F70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14:paraId="5C55EE4B" w14:textId="77777777" w:rsidR="00DF7180" w:rsidRPr="00DF7180" w:rsidRDefault="00DF7180" w:rsidP="00DF7180">
      <w:pPr>
        <w:numPr>
          <w:ilvl w:val="0"/>
          <w:numId w:val="2"/>
        </w:numPr>
        <w:tabs>
          <w:tab w:val="num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прокурора как участника уголовного судопроизводства со стороны обвинения. </w:t>
      </w:r>
    </w:p>
    <w:p w14:paraId="67A38E95" w14:textId="77777777" w:rsidR="00DF7180" w:rsidRPr="00DF7180" w:rsidRDefault="00DF7180" w:rsidP="00DF7180">
      <w:pPr>
        <w:numPr>
          <w:ilvl w:val="0"/>
          <w:numId w:val="2"/>
        </w:numPr>
        <w:tabs>
          <w:tab w:val="num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прокурора в досудебном и судебном производстве.</w:t>
      </w:r>
    </w:p>
    <w:p w14:paraId="08A1D415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14:paraId="4351D6F6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7116" w14:textId="77777777" w:rsidR="00DF7180" w:rsidRPr="00DF7180" w:rsidRDefault="00DF7180" w:rsidP="00DF7180">
      <w:pPr>
        <w:spacing w:after="0" w:line="240" w:lineRule="auto"/>
        <w:ind w:firstLine="45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718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Дополнительная  литература</w:t>
      </w:r>
    </w:p>
    <w:p w14:paraId="4CEF2B0A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2F481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Белов А.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 в уголовном процессе по делам частного обвинения // Закон и право. – 2009. - № 2. </w:t>
      </w:r>
    </w:p>
    <w:p w14:paraId="1F7AB27C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7180">
        <w:rPr>
          <w:rFonts w:ascii="Times New Roman" w:eastAsia="Calibri" w:hAnsi="Times New Roman" w:cs="Times New Roman"/>
          <w:i/>
          <w:sz w:val="24"/>
          <w:szCs w:val="24"/>
        </w:rPr>
        <w:t xml:space="preserve">Горюнов В.   </w:t>
      </w:r>
      <w:r w:rsidRPr="00DF7180">
        <w:rPr>
          <w:rFonts w:ascii="Times New Roman" w:eastAsia="Calibri" w:hAnsi="Times New Roman" w:cs="Times New Roman"/>
          <w:sz w:val="24"/>
          <w:szCs w:val="24"/>
        </w:rPr>
        <w:t>Прокурор как субъект уголовного преследования // Законность. - 2013. - № 4. С. 6-8.</w:t>
      </w:r>
    </w:p>
    <w:p w14:paraId="411E0CAC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Calibri" w:hAnsi="Times New Roman" w:cs="Times New Roman"/>
          <w:i/>
          <w:sz w:val="24"/>
          <w:szCs w:val="24"/>
        </w:rPr>
        <w:t>Мичурина О.В., Химичева О.В.</w:t>
      </w:r>
      <w:r w:rsidRPr="00DF7180">
        <w:rPr>
          <w:rFonts w:ascii="Times New Roman" w:eastAsia="Calibri" w:hAnsi="Times New Roman" w:cs="Times New Roman"/>
          <w:sz w:val="24"/>
          <w:szCs w:val="24"/>
        </w:rPr>
        <w:t xml:space="preserve"> Роль прокурора при возобновлении производства по прекращенному уголовному делу // </w:t>
      </w:r>
      <w:proofErr w:type="spellStart"/>
      <w:r w:rsidRPr="00DF7180">
        <w:rPr>
          <w:rFonts w:ascii="Times New Roman" w:eastAsia="Calibri" w:hAnsi="Times New Roman" w:cs="Times New Roman"/>
          <w:sz w:val="24"/>
          <w:szCs w:val="24"/>
        </w:rPr>
        <w:t>European</w:t>
      </w:r>
      <w:proofErr w:type="spellEnd"/>
      <w:r w:rsidRPr="00DF7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7180">
        <w:rPr>
          <w:rFonts w:ascii="Times New Roman" w:eastAsia="Calibri" w:hAnsi="Times New Roman" w:cs="Times New Roman"/>
          <w:sz w:val="24"/>
          <w:szCs w:val="24"/>
        </w:rPr>
        <w:t>Social</w:t>
      </w:r>
      <w:proofErr w:type="spellEnd"/>
      <w:r w:rsidRPr="00DF7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7180">
        <w:rPr>
          <w:rFonts w:ascii="Times New Roman" w:eastAsia="Calibri" w:hAnsi="Times New Roman" w:cs="Times New Roman"/>
          <w:sz w:val="24"/>
          <w:szCs w:val="24"/>
        </w:rPr>
        <w:t>Science</w:t>
      </w:r>
      <w:proofErr w:type="spellEnd"/>
      <w:r w:rsidRPr="00DF7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7180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DF7180">
        <w:rPr>
          <w:rFonts w:ascii="Times New Roman" w:eastAsia="Calibri" w:hAnsi="Times New Roman" w:cs="Times New Roman"/>
          <w:sz w:val="24"/>
          <w:szCs w:val="24"/>
        </w:rPr>
        <w:t>. 2011. № 12. – С. 437-443.</w:t>
      </w:r>
    </w:p>
    <w:p w14:paraId="38D90338" w14:textId="77777777" w:rsidR="00DF7180" w:rsidRPr="00DF7180" w:rsidRDefault="00DF7180" w:rsidP="00DF7180">
      <w:pPr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Тушев А.А.</w:t>
      </w:r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Прокурор в уголовном процессе Российской Федерации / Под </w:t>
      </w:r>
      <w:proofErr w:type="spellStart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научн</w:t>
      </w:r>
      <w:proofErr w:type="spellEnd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proofErr w:type="spellStart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ред</w:t>
      </w:r>
      <w:proofErr w:type="spellEnd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И.Ф.Демидова</w:t>
      </w:r>
      <w:proofErr w:type="spellEnd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– СПб.: Издательство </w:t>
      </w:r>
      <w:proofErr w:type="spellStart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Р.Асланова</w:t>
      </w:r>
      <w:proofErr w:type="spellEnd"/>
      <w:r w:rsidRPr="00DF71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«Юридический центр Пресс», 2005. </w:t>
      </w:r>
    </w:p>
    <w:p w14:paraId="785D41EC" w14:textId="77777777" w:rsidR="00DF7180" w:rsidRPr="00DF7180" w:rsidRDefault="00DF7180" w:rsidP="00DF718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Халиулин</w:t>
      </w:r>
      <w:proofErr w:type="spellEnd"/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прокурора за процессуальной деятельностью органов предварительного следствия // Законность. - 2007. - № 9.</w:t>
      </w:r>
    </w:p>
    <w:p w14:paraId="2CB6FEFC" w14:textId="77777777" w:rsidR="00DF7180" w:rsidRPr="00DF7180" w:rsidRDefault="00DF7180" w:rsidP="00DF71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Химичева О.В.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Концептуальные основы процессуального контроля и надзора на досудебных стадиях уголовного судопроизводства. – М.: ЮНИТИ-ДАНА: Закон и право, 2004.</w:t>
      </w:r>
    </w:p>
    <w:p w14:paraId="0360D3F4" w14:textId="77777777" w:rsidR="00DF7180" w:rsidRPr="00DF7180" w:rsidRDefault="00DF7180" w:rsidP="00DF71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Шейфер С.А.</w:t>
      </w:r>
      <w:r w:rsidRPr="00D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 предварительного следствия: правовой статус и взаимоотношения прокурора и руководителя следственного органа // Государство и право. – 2009. - № 4. </w:t>
      </w:r>
    </w:p>
    <w:p w14:paraId="6818F447" w14:textId="77777777" w:rsidR="00DF7180" w:rsidRDefault="00DF7180"/>
    <w:sectPr w:rsidR="00DF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0131C"/>
    <w:multiLevelType w:val="hybridMultilevel"/>
    <w:tmpl w:val="3CC6C956"/>
    <w:lvl w:ilvl="0" w:tplc="C15A1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B02DD"/>
    <w:multiLevelType w:val="singleLevel"/>
    <w:tmpl w:val="945893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0"/>
    <w:rsid w:val="002E378A"/>
    <w:rsid w:val="00747130"/>
    <w:rsid w:val="00D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BA8B19"/>
  <w15:chartTrackingRefBased/>
  <w15:docId w15:val="{42B1AE20-FC4E-4F77-99AE-F2F3463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469.html" TargetMode="External"/><Relationship Id="rId13" Type="http://schemas.openxmlformats.org/officeDocument/2006/relationships/hyperlink" Target="http://www.government.ru" TargetMode="External"/><Relationship Id="rId18" Type="http://schemas.openxmlformats.org/officeDocument/2006/relationships/hyperlink" Target="http://www.echr.coe.int" TargetMode="External"/><Relationship Id="rId26" Type="http://schemas.openxmlformats.org/officeDocument/2006/relationships/hyperlink" Target="http://www.biblioteka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4;&#1086;&#1089;&#1091;.&#1084;&#1074;&#1076;.&#1088;&#1092;" TargetMode="External"/><Relationship Id="rId7" Type="http://schemas.openxmlformats.org/officeDocument/2006/relationships/hyperlink" Target="http://www.iprbookshop.ru/52579.html" TargetMode="External"/><Relationship Id="rId12" Type="http://schemas.openxmlformats.org/officeDocument/2006/relationships/hyperlink" Target="http://www.kremlin.ru" TargetMode="External"/><Relationship Id="rId17" Type="http://schemas.openxmlformats.org/officeDocument/2006/relationships/hyperlink" Target="http://www.genproc.gov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edcom.ru" TargetMode="External"/><Relationship Id="rId20" Type="http://schemas.openxmlformats.org/officeDocument/2006/relationships/hyperlink" Target="http://ombudsmanrf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6303.html" TargetMode="External"/><Relationship Id="rId11" Type="http://schemas.openxmlformats.org/officeDocument/2006/relationships/hyperlink" Target="http://www.vsrf.ru" TargetMode="External"/><Relationship Id="rId24" Type="http://schemas.openxmlformats.org/officeDocument/2006/relationships/hyperlink" Target="http://law.edu.ru" TargetMode="External"/><Relationship Id="rId5" Type="http://schemas.openxmlformats.org/officeDocument/2006/relationships/hyperlink" Target="https://mvd.ru/mvd/documents/20120328164545/item/14493" TargetMode="External"/><Relationship Id="rId15" Type="http://schemas.openxmlformats.org/officeDocument/2006/relationships/hyperlink" Target="http://www.minjust.ru" TargetMode="External"/><Relationship Id="rId23" Type="http://schemas.openxmlformats.org/officeDocument/2006/relationships/hyperlink" Target="http://pra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srf.ru" TargetMode="External"/><Relationship Id="rId19" Type="http://schemas.openxmlformats.org/officeDocument/2006/relationships/hyperlink" Target="http://www.esp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108.html" TargetMode="Externa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lib.mosumvd.com" TargetMode="External"/><Relationship Id="rId27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Dima</dc:creator>
  <cp:keywords/>
  <dc:description/>
  <cp:lastModifiedBy>People Dima</cp:lastModifiedBy>
  <cp:revision>2</cp:revision>
  <dcterms:created xsi:type="dcterms:W3CDTF">2021-02-05T08:00:00Z</dcterms:created>
  <dcterms:modified xsi:type="dcterms:W3CDTF">2021-02-05T08:01:00Z</dcterms:modified>
</cp:coreProperties>
</file>